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Genel Müdürlüğümüzden gelen ödenekler </w:t>
      </w:r>
      <w:proofErr w:type="gram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dahilinde</w:t>
      </w:r>
      <w:proofErr w:type="gram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İl Müdürlüğümüz ve Milli Eğitim Müdürlüğü arasında imzalanan protokollere istinaden Toplum Yararına Programlar (TYP) düzenlenecektir. Buna göre;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Yeni </w:t>
      </w:r>
      <w:proofErr w:type="gram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açılan ,</w:t>
      </w:r>
      <w:proofErr w:type="gramEnd"/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tr-TR"/>
        </w:rPr>
        <w:t>Programların başlangıç tarihi 13.11.2017 bitiş tarihleri 29.06.2018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tr-TR"/>
        </w:rPr>
        <w:t xml:space="preserve">Başvuru tarih aralığı ise; 27.10.2017 (bugün) ile 31.10.2017 (salı saat </w:t>
      </w:r>
      <w:proofErr w:type="gram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tr-TR"/>
        </w:rPr>
        <w:t>23:59</w:t>
      </w:r>
      <w:proofErr w:type="gramEnd"/>
      <w:r w:rsidRPr="00A7772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tr-TR"/>
        </w:rPr>
        <w:t>) olarak belirlenmiştir.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00"/>
          <w:lang w:eastAsia="tr-TR"/>
        </w:rPr>
        <w:t>1.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shd w:val="clear" w:color="auto" w:fill="FFFF00"/>
          <w:lang w:eastAsia="tr-TR"/>
        </w:rPr>
        <w:t xml:space="preserve">    </w:t>
      </w:r>
      <w:r w:rsidRPr="00A77726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00"/>
          <w:lang w:eastAsia="tr-TR"/>
        </w:rPr>
        <w:t>GÜVENLİK KONULU TYP (TOPLAM KONTENJAN 261 KİŞİ)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5 adet program halinde sisteme tanımlanmıştır. İl Müdürlüğü ve Hizmet Merkezleri bazında başvurular alınacak olup, </w:t>
      </w:r>
      <w:proofErr w:type="spellStart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portal</w:t>
      </w:r>
      <w:proofErr w:type="spellEnd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numaralarını içeren liste ektedir. (örneğin; İl Müdürlüğü </w:t>
      </w:r>
      <w:proofErr w:type="spellStart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portal</w:t>
      </w:r>
      <w:proofErr w:type="spellEnd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</w:t>
      </w:r>
      <w:proofErr w:type="spellStart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nosu</w:t>
      </w:r>
      <w:proofErr w:type="spellEnd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251613 olup, Akdeniz, </w:t>
      </w:r>
      <w:proofErr w:type="spellStart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Toroslar</w:t>
      </w:r>
      <w:proofErr w:type="spellEnd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, </w:t>
      </w:r>
      <w:proofErr w:type="spellStart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Mezitli</w:t>
      </w:r>
      <w:proofErr w:type="spellEnd"/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, Yenişehir ilçelerini kapsamaktadır.) Başvuru esnasında ilçe ayrımı konusunda dikkatli davranılması gerekmektedir.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 xml:space="preserve">GÜVENLİK KONULU </w:t>
      </w:r>
      <w:proofErr w:type="spellStart"/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>TYP’ler</w:t>
      </w:r>
      <w:proofErr w:type="spellEnd"/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 xml:space="preserve"> için seçme işlemleri Kurumumuz ve İl Milli Eğitim Müdürlüğü personellerinden oluşan komisyonca seçme yapılacak olup, seçme yerleri ve tarihleri ekli tablolarda yer almaktadır. (güvenlik seçmeleri 03 Kasım 2017 saat </w:t>
      </w:r>
      <w:proofErr w:type="gramStart"/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>10:00’da</w:t>
      </w:r>
      <w:proofErr w:type="gramEnd"/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 xml:space="preserve"> gerçekleştirilecektir. Program bazında yerlerin tasnifi tabloda yer almaktadır.</w:t>
      </w:r>
      <w:proofErr w:type="gramStart"/>
      <w:r w:rsidRPr="00A77726">
        <w:rPr>
          <w:rFonts w:ascii="Arial" w:eastAsia="Times New Roman" w:hAnsi="Arial" w:cs="Arial"/>
          <w:b/>
          <w:bCs/>
          <w:i/>
          <w:iCs/>
          <w:color w:val="555555"/>
          <w:sz w:val="28"/>
          <w:szCs w:val="28"/>
          <w:lang w:eastAsia="tr-TR"/>
        </w:rPr>
        <w:t>)</w:t>
      </w:r>
      <w:proofErr w:type="gramEnd"/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tr-TR"/>
        </w:rPr>
        <w:t>GÜVENLİK KONULU TYP için Özel Şartlar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-Bu protokol kapsamında KATILIMCILARIN 5188 SAYILI KANUN KAPSAMINDA ÖZEL GÜVENLİK ÇALIŞMA İZNİ İLE KİMLİK KARTINA SAHİP OLMASI VE AYNI KANUNDA BELİRTİLEN ÖZEL GÜVENLİK GÖREVLİLERİNDE ARANACAK ŞARTLARI TAŞIMASI gerekmektedir.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-KATILIMCININ ADLİ SİCİL KAYDININ BULUNMAMASI GEREKMEKTEDİR. TYP süresi içinde katılımcının sonradan adli sicil kaydı oluşması durumunda yüklenici tarafından programdan çıkartılacaktır.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TYP’ye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başvuramazlar.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NOT: Bu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TYP’ye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katılımcı seçiminde aşağıdaki gruplara öncelikli olarak değerlendirilebilecektir.</w:t>
      </w:r>
    </w:p>
    <w:p w:rsidR="00A77726" w:rsidRPr="00A77726" w:rsidRDefault="00A77726" w:rsidP="00A77726">
      <w:pPr>
        <w:shd w:val="clear" w:color="auto" w:fill="FFF1A8"/>
        <w:spacing w:before="100" w:beforeAutospacing="1" w:after="0" w:line="240" w:lineRule="auto"/>
        <w:ind w:left="198"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a)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25-45 yaş arası katılımcılar (25 yaşını tamamlamış ancak 45 yaşını doldurmamış kişiler)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b)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Lise ve üstü düzeyde eğitim seviyesindeki kişiler,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lastRenderedPageBreak/>
        <w:t>c)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Askerliğini tamamlamış kişiler,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d)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İlk defa güvenlik görevlisi mesleğinde görev yapacak kişiler.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-156" w:right="21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00"/>
          <w:lang w:eastAsia="tr-TR"/>
        </w:rPr>
        <w:t>2.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shd w:val="clear" w:color="auto" w:fill="FFFF00"/>
          <w:lang w:eastAsia="tr-TR"/>
        </w:rPr>
        <w:t xml:space="preserve">    </w:t>
      </w:r>
      <w:r w:rsidRPr="00A77726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00"/>
          <w:lang w:eastAsia="tr-TR"/>
        </w:rPr>
        <w:t>TEMİZLİK KONULU TYP (TOPLAM KONTENJAN 200 KİŞİ)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192"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5 adet program halinde sisteme tanımlanmıştır. İl Müdürlüğü ve Hizmet Merkezleri bazında başvurular alınacak olup,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portal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numaralarını içeren liste ektedir. (örneğin; Silifke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portal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nosu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 xml:space="preserve"> 251652 olup, Silifke, Gülnar, Mut ilçelerini kapsamaktadır.) Başvuru esnasında ilçe ayrımı konusunda dikkatli davranılması gerekmektedir.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192"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192"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tr-TR"/>
        </w:rPr>
        <w:t xml:space="preserve">TEMİZLİK KONULU </w:t>
      </w:r>
      <w:proofErr w:type="spellStart"/>
      <w:r w:rsidRPr="00A7772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tr-TR"/>
        </w:rPr>
        <w:t>TYP’ler</w:t>
      </w:r>
      <w:proofErr w:type="spellEnd"/>
      <w:r w:rsidRPr="00A7772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tr-TR"/>
        </w:rPr>
        <w:t xml:space="preserve"> için seçme yöntemimiz liste yöntemi olacaktır.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192"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tr-TR"/>
        </w:rPr>
        <w:t> </w:t>
      </w:r>
    </w:p>
    <w:p w:rsidR="00A77726" w:rsidRPr="00A77726" w:rsidRDefault="00A77726" w:rsidP="00A77726">
      <w:pPr>
        <w:shd w:val="clear" w:color="auto" w:fill="FFF1A8"/>
        <w:spacing w:after="0" w:line="240" w:lineRule="auto"/>
        <w:ind w:left="192" w:right="218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</w:pPr>
      <w:r w:rsidRPr="00A7772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NOT: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-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Her iki program için de TYP konusundaki genel şartlarımız geçerliliğini korumakta olup, detaylar için duyuruların incelenmesi faydalı olacaktır.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-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Söz konusu ekli duyurular İl Müdürlüğümüz ve Hizmet Merkezlerimiz panolarında ilan edilecek olup, Hizmet Merkezlerimiz tarafından yüklenici kurum panolarında da ilan edilmesi sağlanacaktır.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-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İl Müdürlüğümüz, Hizmet Merkezlerimiz, ALO 170 hattı ve üyeliği olan katılımcı aday adayları için internet üzerinden başvurular alınabilecektir.</w:t>
      </w:r>
    </w:p>
    <w:p w:rsidR="00A77726" w:rsidRPr="00A77726" w:rsidRDefault="00A77726" w:rsidP="00A77726">
      <w:pPr>
        <w:shd w:val="clear" w:color="auto" w:fill="FFF1A8"/>
        <w:spacing w:before="100" w:beforeAutospacing="1" w:after="100" w:afterAutospacing="1" w:line="240" w:lineRule="auto"/>
        <w:ind w:right="218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-</w:t>
      </w:r>
      <w:r w:rsidRPr="00A77726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tr-TR"/>
        </w:rPr>
        <w:t xml:space="preserve">          </w:t>
      </w:r>
      <w:r w:rsidRPr="00A77726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Tereddüt edilen hususlarda İşgücü Piyasası İzleme ve Değerlendirme Servisimiz ile irtibata geçilebilir.</w:t>
      </w:r>
    </w:p>
    <w:p w:rsidR="004B78F3" w:rsidRDefault="004B78F3"/>
    <w:sectPr w:rsidR="004B78F3" w:rsidSect="004B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7726"/>
    <w:rsid w:val="004B78F3"/>
    <w:rsid w:val="007035B8"/>
    <w:rsid w:val="0084321B"/>
    <w:rsid w:val="00A77726"/>
    <w:rsid w:val="00C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7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87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0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34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4536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9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77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3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848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298595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73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143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81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091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2017-11-01T06:34:00Z</cp:lastPrinted>
  <dcterms:created xsi:type="dcterms:W3CDTF">2017-11-01T06:33:00Z</dcterms:created>
  <dcterms:modified xsi:type="dcterms:W3CDTF">2017-11-01T06:37:00Z</dcterms:modified>
</cp:coreProperties>
</file>